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B9C3" w14:textId="3EA03594" w:rsidR="009E64D3" w:rsidRPr="00B5392A" w:rsidRDefault="00323C74" w:rsidP="00B5392A">
      <w:pPr>
        <w:jc w:val="center"/>
        <w:rPr>
          <w:b/>
          <w:bCs/>
        </w:rPr>
      </w:pPr>
      <w:r>
        <w:rPr>
          <w:b/>
          <w:bCs/>
        </w:rPr>
        <w:t xml:space="preserve">Privacy Policy - </w:t>
      </w:r>
      <w:r w:rsidR="009E64D3" w:rsidRPr="00B5392A">
        <w:rPr>
          <w:b/>
          <w:bCs/>
        </w:rPr>
        <w:t>What’s Changed</w:t>
      </w:r>
    </w:p>
    <w:p w14:paraId="4C3B019E" w14:textId="75222976" w:rsidR="009E64D3" w:rsidRPr="00B5392A" w:rsidRDefault="00406B94" w:rsidP="00B5392A">
      <w:pPr>
        <w:jc w:val="center"/>
        <w:rPr>
          <w:b/>
          <w:bCs/>
        </w:rPr>
      </w:pPr>
      <w:r>
        <w:rPr>
          <w:b/>
          <w:bCs/>
        </w:rPr>
        <w:t>February 2022</w:t>
      </w:r>
    </w:p>
    <w:p w14:paraId="4BE1E8F2" w14:textId="2A18B49D" w:rsidR="0008582D" w:rsidRDefault="00741F49" w:rsidP="003A25E6">
      <w:pPr>
        <w:spacing w:before="240"/>
        <w:ind w:right="-336"/>
      </w:pPr>
      <w:r>
        <w:t>O</w:t>
      </w:r>
      <w:r w:rsidR="009F5951">
        <w:t>ur</w:t>
      </w:r>
      <w:r w:rsidR="00323C74">
        <w:t xml:space="preserve"> Privacy Policy has been updated </w:t>
      </w:r>
      <w:r w:rsidR="00B03D9E">
        <w:t xml:space="preserve">to </w:t>
      </w:r>
      <w:r w:rsidR="00CA5D21">
        <w:t xml:space="preserve">accommodate </w:t>
      </w:r>
      <w:r w:rsidR="004D630C">
        <w:t>the personal data processing associated with our new ‘</w:t>
      </w:r>
      <w:proofErr w:type="spellStart"/>
      <w:r w:rsidR="004D630C">
        <w:t>PartnerVantage</w:t>
      </w:r>
      <w:proofErr w:type="spellEnd"/>
      <w:r w:rsidR="004D630C">
        <w:t>’ Program</w:t>
      </w:r>
      <w:r w:rsidR="00464386">
        <w:t>, including via</w:t>
      </w:r>
      <w:r w:rsidR="00011461">
        <w:t xml:space="preserve"> the </w:t>
      </w:r>
      <w:r w:rsidR="00464386">
        <w:t>Program-</w:t>
      </w:r>
      <w:r w:rsidR="00011461">
        <w:t>related</w:t>
      </w:r>
      <w:r w:rsidR="0008582D">
        <w:t xml:space="preserve"> </w:t>
      </w:r>
      <w:r w:rsidR="00011461">
        <w:t>platf</w:t>
      </w:r>
      <w:r w:rsidR="0008582D">
        <w:t>o</w:t>
      </w:r>
      <w:r w:rsidR="00011461">
        <w:t>rm at partners.megaport.com</w:t>
      </w:r>
      <w:r w:rsidR="00464386">
        <w:t xml:space="preserve"> (known as ‘</w:t>
      </w:r>
      <w:proofErr w:type="spellStart"/>
      <w:r w:rsidR="00464386">
        <w:t>VantageHub</w:t>
      </w:r>
      <w:proofErr w:type="spellEnd"/>
      <w:r w:rsidR="00464386">
        <w:t>’)</w:t>
      </w:r>
      <w:r w:rsidR="00590668">
        <w:t>, and our new recruitment system</w:t>
      </w:r>
      <w:r w:rsidR="00464386">
        <w:t>.</w:t>
      </w:r>
      <w:r w:rsidR="004D630C">
        <w:t xml:space="preserve"> </w:t>
      </w:r>
      <w:r w:rsidR="001306F7">
        <w:t xml:space="preserve"> </w:t>
      </w:r>
      <w:r w:rsidR="004D630C">
        <w:t xml:space="preserve">We’ve also taken the opportunity to update certain terminology for clarity.  </w:t>
      </w:r>
    </w:p>
    <w:p w14:paraId="77B29CAF" w14:textId="5C254C7E" w:rsidR="0008582D" w:rsidRDefault="004D630C" w:rsidP="003A25E6">
      <w:pPr>
        <w:spacing w:before="240"/>
        <w:ind w:right="-336"/>
      </w:pPr>
      <w:r>
        <w:t xml:space="preserve">So, aside from </w:t>
      </w:r>
      <w:r w:rsidR="001306F7">
        <w:t xml:space="preserve">minor </w:t>
      </w:r>
      <w:r w:rsidR="0008582D">
        <w:t xml:space="preserve">consequential </w:t>
      </w:r>
      <w:r>
        <w:t xml:space="preserve">edits </w:t>
      </w:r>
      <w:r w:rsidR="001306F7">
        <w:t xml:space="preserve">related to the new terminology, </w:t>
      </w:r>
      <w:r>
        <w:t xml:space="preserve">the changes to note are as follows: </w:t>
      </w:r>
    </w:p>
    <w:p w14:paraId="1B672D65" w14:textId="77777777" w:rsidR="003A25E6" w:rsidRDefault="003A25E6" w:rsidP="003A25E6">
      <w:pPr>
        <w:spacing w:before="240"/>
        <w:ind w:right="-336"/>
      </w:pPr>
    </w:p>
    <w:tbl>
      <w:tblPr>
        <w:tblStyle w:val="TableGrid"/>
        <w:tblW w:w="9537" w:type="dxa"/>
        <w:tblInd w:w="-147" w:type="dxa"/>
        <w:tblLook w:val="04A0" w:firstRow="1" w:lastRow="0" w:firstColumn="1" w:lastColumn="0" w:noHBand="0" w:noVBand="1"/>
      </w:tblPr>
      <w:tblGrid>
        <w:gridCol w:w="2733"/>
        <w:gridCol w:w="6804"/>
      </w:tblGrid>
      <w:tr w:rsidR="004D630C" w:rsidRPr="00323C74" w14:paraId="0BC5D726" w14:textId="77777777" w:rsidTr="003A25E6">
        <w:tc>
          <w:tcPr>
            <w:tcW w:w="2733" w:type="dxa"/>
          </w:tcPr>
          <w:p w14:paraId="02DCD265" w14:textId="77777777" w:rsidR="004D630C" w:rsidRPr="00323C74" w:rsidRDefault="004D630C" w:rsidP="0046438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323C74">
              <w:rPr>
                <w:b/>
                <w:bCs/>
                <w:sz w:val="22"/>
                <w:szCs w:val="22"/>
              </w:rPr>
              <w:t>Clause reference</w:t>
            </w:r>
          </w:p>
        </w:tc>
        <w:tc>
          <w:tcPr>
            <w:tcW w:w="6804" w:type="dxa"/>
          </w:tcPr>
          <w:p w14:paraId="6C802985" w14:textId="77777777" w:rsidR="004D630C" w:rsidRPr="00323C74" w:rsidRDefault="004D630C" w:rsidP="0046438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323C74">
              <w:rPr>
                <w:b/>
                <w:bCs/>
                <w:sz w:val="22"/>
                <w:szCs w:val="22"/>
              </w:rPr>
              <w:t>What’s changed</w:t>
            </w:r>
          </w:p>
        </w:tc>
      </w:tr>
      <w:tr w:rsidR="004D630C" w:rsidRPr="00323C74" w14:paraId="7AF52090" w14:textId="77777777" w:rsidTr="003A25E6">
        <w:tc>
          <w:tcPr>
            <w:tcW w:w="2733" w:type="dxa"/>
          </w:tcPr>
          <w:p w14:paraId="3FDB8BD2" w14:textId="1CF09B70" w:rsidR="004D630C" w:rsidRPr="00323C74" w:rsidRDefault="004D630C" w:rsidP="00464386">
            <w:pPr>
              <w:spacing w:before="120" w:after="120"/>
              <w:rPr>
                <w:sz w:val="22"/>
                <w:szCs w:val="22"/>
              </w:rPr>
            </w:pPr>
            <w:r w:rsidRPr="00323C74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reamble</w:t>
            </w:r>
          </w:p>
        </w:tc>
        <w:tc>
          <w:tcPr>
            <w:tcW w:w="6804" w:type="dxa"/>
          </w:tcPr>
          <w:p w14:paraId="648FC7E9" w14:textId="34252027" w:rsidR="004D630C" w:rsidRPr="00323C74" w:rsidRDefault="004D630C" w:rsidP="0046438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We’ve included a </w:t>
            </w:r>
            <w:r w:rsidRPr="001306F7">
              <w:rPr>
                <w:sz w:val="22"/>
                <w:szCs w:val="22"/>
              </w:rPr>
              <w:t>list of terminology</w:t>
            </w:r>
            <w:r>
              <w:rPr>
                <w:sz w:val="22"/>
                <w:szCs w:val="22"/>
              </w:rPr>
              <w:t xml:space="preserve"> and have adopted such terminology throughout the Policy to </w:t>
            </w:r>
            <w:r w:rsidR="0008582D">
              <w:rPr>
                <w:sz w:val="22"/>
                <w:szCs w:val="22"/>
              </w:rPr>
              <w:t xml:space="preserve">reduce </w:t>
            </w:r>
            <w:r>
              <w:rPr>
                <w:sz w:val="22"/>
                <w:szCs w:val="22"/>
              </w:rPr>
              <w:t xml:space="preserve">any ambiguity or uncertainty. </w:t>
            </w:r>
            <w:r w:rsidR="00464386">
              <w:rPr>
                <w:sz w:val="22"/>
                <w:szCs w:val="22"/>
              </w:rPr>
              <w:t xml:space="preserve">However, </w:t>
            </w:r>
            <w:r w:rsidR="0008582D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egardless of </w:t>
            </w:r>
            <w:r w:rsidR="00011461">
              <w:rPr>
                <w:sz w:val="22"/>
                <w:szCs w:val="22"/>
              </w:rPr>
              <w:t xml:space="preserve">any </w:t>
            </w:r>
            <w:r>
              <w:rPr>
                <w:sz w:val="22"/>
                <w:szCs w:val="22"/>
              </w:rPr>
              <w:t xml:space="preserve">new terminology, the only new concept being introduced is that of a ‘Partner’ </w:t>
            </w:r>
            <w:r w:rsidR="0008582D">
              <w:rPr>
                <w:sz w:val="22"/>
                <w:szCs w:val="22"/>
              </w:rPr>
              <w:t>in our Program.</w:t>
            </w:r>
          </w:p>
        </w:tc>
      </w:tr>
      <w:tr w:rsidR="004D630C" w:rsidRPr="00323C74" w14:paraId="344096FF" w14:textId="77777777" w:rsidTr="003A25E6">
        <w:tc>
          <w:tcPr>
            <w:tcW w:w="2733" w:type="dxa"/>
          </w:tcPr>
          <w:p w14:paraId="28EF3C3C" w14:textId="75AABBC5" w:rsidR="004D630C" w:rsidRPr="00323C74" w:rsidRDefault="004D630C" w:rsidP="00464386">
            <w:pPr>
              <w:spacing w:before="120" w:after="120"/>
              <w:rPr>
                <w:sz w:val="22"/>
                <w:szCs w:val="22"/>
              </w:rPr>
            </w:pPr>
            <w:r w:rsidRPr="00323C74">
              <w:rPr>
                <w:sz w:val="22"/>
                <w:szCs w:val="22"/>
              </w:rPr>
              <w:t>Part 1</w:t>
            </w:r>
            <w:r w:rsidR="00011461">
              <w:rPr>
                <w:sz w:val="22"/>
                <w:szCs w:val="22"/>
              </w:rPr>
              <w:t xml:space="preserve"> </w:t>
            </w:r>
            <w:r w:rsidR="001306F7">
              <w:rPr>
                <w:sz w:val="22"/>
                <w:szCs w:val="22"/>
              </w:rPr>
              <w:t>–</w:t>
            </w:r>
            <w:r w:rsidR="00011461">
              <w:rPr>
                <w:sz w:val="22"/>
                <w:szCs w:val="22"/>
              </w:rPr>
              <w:t xml:space="preserve"> Customers</w:t>
            </w:r>
          </w:p>
        </w:tc>
        <w:tc>
          <w:tcPr>
            <w:tcW w:w="6804" w:type="dxa"/>
          </w:tcPr>
          <w:p w14:paraId="7CE69073" w14:textId="7E322965" w:rsidR="004D630C" w:rsidRPr="001306F7" w:rsidRDefault="001306F7" w:rsidP="001306F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relation to ‘How we collect it’, we’ve clarified that we may also do so via</w:t>
            </w:r>
            <w:r w:rsidRPr="001306F7">
              <w:rPr>
                <w:sz w:val="22"/>
                <w:szCs w:val="22"/>
              </w:rPr>
              <w:t xml:space="preserve"> our referral/sales Agents </w:t>
            </w:r>
            <w:r>
              <w:rPr>
                <w:sz w:val="22"/>
                <w:szCs w:val="22"/>
              </w:rPr>
              <w:t xml:space="preserve">and, for prospective Customers, via the operators of </w:t>
            </w:r>
            <w:r w:rsidR="00726B54" w:rsidRPr="001306F7">
              <w:rPr>
                <w:sz w:val="22"/>
                <w:szCs w:val="22"/>
              </w:rPr>
              <w:t>third-party</w:t>
            </w:r>
            <w:r w:rsidRPr="001306F7">
              <w:rPr>
                <w:sz w:val="22"/>
                <w:szCs w:val="22"/>
              </w:rPr>
              <w:t xml:space="preserve"> websites on which we’ve placed our content (subject to the notice and consent requirements of privacy- and direct marketing laws)</w:t>
            </w:r>
          </w:p>
        </w:tc>
      </w:tr>
      <w:tr w:rsidR="00726B54" w:rsidRPr="00323C74" w14:paraId="14CC2647" w14:textId="77777777" w:rsidTr="003A25E6">
        <w:tc>
          <w:tcPr>
            <w:tcW w:w="2733" w:type="dxa"/>
          </w:tcPr>
          <w:p w14:paraId="7B5BB15E" w14:textId="7C025562" w:rsidR="00726B54" w:rsidRPr="00323C74" w:rsidRDefault="00726B54" w:rsidP="0046438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 2 - Recruitment</w:t>
            </w:r>
          </w:p>
        </w:tc>
        <w:tc>
          <w:tcPr>
            <w:tcW w:w="6804" w:type="dxa"/>
          </w:tcPr>
          <w:p w14:paraId="07B062D4" w14:textId="68F60070" w:rsidR="00726B54" w:rsidRDefault="00096DE6" w:rsidP="001306F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Clarified</w:t>
            </w:r>
            <w:r w:rsidR="00726B54">
              <w:rPr>
                <w:sz w:val="22"/>
                <w:szCs w:val="22"/>
              </w:rPr>
              <w:t xml:space="preserve"> that</w:t>
            </w:r>
            <w:r>
              <w:rPr>
                <w:sz w:val="22"/>
                <w:szCs w:val="22"/>
              </w:rPr>
              <w:t>,</w:t>
            </w:r>
            <w:r w:rsidR="00726B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although </w:t>
            </w:r>
            <w:r w:rsidR="00726B54">
              <w:rPr>
                <w:sz w:val="22"/>
                <w:szCs w:val="22"/>
              </w:rPr>
              <w:t>the candidate’s provision of any sensitive data would be entirely voluntary</w:t>
            </w:r>
            <w:r>
              <w:rPr>
                <w:sz w:val="22"/>
                <w:szCs w:val="22"/>
              </w:rPr>
              <w:t xml:space="preserve">, data relating to race, gender and veteran status (if provided) may be </w:t>
            </w:r>
            <w:r w:rsidR="00726B54">
              <w:rPr>
                <w:sz w:val="22"/>
                <w:szCs w:val="22"/>
              </w:rPr>
              <w:t xml:space="preserve">used for </w:t>
            </w:r>
            <w:proofErr w:type="gramStart"/>
            <w:r w:rsidR="00726B54">
              <w:rPr>
                <w:sz w:val="22"/>
                <w:szCs w:val="22"/>
              </w:rPr>
              <w:t>statutorily</w:t>
            </w:r>
            <w:r w:rsidR="00590668">
              <w:rPr>
                <w:sz w:val="22"/>
                <w:szCs w:val="22"/>
              </w:rPr>
              <w:t>-</w:t>
            </w:r>
            <w:r w:rsidR="00726B54">
              <w:rPr>
                <w:sz w:val="22"/>
                <w:szCs w:val="22"/>
              </w:rPr>
              <w:t>required</w:t>
            </w:r>
            <w:proofErr w:type="gramEnd"/>
            <w:r w:rsidR="00726B54">
              <w:rPr>
                <w:sz w:val="22"/>
                <w:szCs w:val="22"/>
              </w:rPr>
              <w:t xml:space="preserve"> </w:t>
            </w:r>
            <w:r w:rsidR="00590668">
              <w:rPr>
                <w:sz w:val="22"/>
                <w:szCs w:val="22"/>
              </w:rPr>
              <w:t xml:space="preserve">aggregated </w:t>
            </w:r>
            <w:r w:rsidR="00726B54">
              <w:rPr>
                <w:sz w:val="22"/>
                <w:szCs w:val="22"/>
              </w:rPr>
              <w:t>reporting in specific jurisdictions</w:t>
            </w:r>
            <w:r>
              <w:rPr>
                <w:sz w:val="22"/>
                <w:szCs w:val="22"/>
              </w:rPr>
              <w:t xml:space="preserve"> where relevant. We’ve also made specific mention of our recruitment system as a collection and storage method.</w:t>
            </w:r>
          </w:p>
        </w:tc>
      </w:tr>
      <w:tr w:rsidR="004D630C" w:rsidRPr="00323C74" w14:paraId="2E0BF118" w14:textId="77777777" w:rsidTr="003A25E6">
        <w:tc>
          <w:tcPr>
            <w:tcW w:w="2733" w:type="dxa"/>
          </w:tcPr>
          <w:p w14:paraId="2CED7AFF" w14:textId="21641AC5" w:rsidR="004D630C" w:rsidRPr="00323C74" w:rsidRDefault="004D630C" w:rsidP="00464386">
            <w:pPr>
              <w:spacing w:before="120" w:after="120"/>
              <w:rPr>
                <w:sz w:val="22"/>
                <w:szCs w:val="22"/>
              </w:rPr>
            </w:pPr>
            <w:r w:rsidRPr="00323C74">
              <w:rPr>
                <w:sz w:val="22"/>
                <w:szCs w:val="22"/>
              </w:rPr>
              <w:t xml:space="preserve">Part </w:t>
            </w:r>
            <w:r w:rsidR="00011461">
              <w:rPr>
                <w:sz w:val="22"/>
                <w:szCs w:val="22"/>
              </w:rPr>
              <w:t>3 – Website visitors</w:t>
            </w:r>
          </w:p>
        </w:tc>
        <w:tc>
          <w:tcPr>
            <w:tcW w:w="6804" w:type="dxa"/>
          </w:tcPr>
          <w:p w14:paraId="2D94519E" w14:textId="2C3A915C" w:rsidR="004D630C" w:rsidRPr="00323C74" w:rsidRDefault="0008582D" w:rsidP="0046438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We’ve included</w:t>
            </w:r>
            <w:r w:rsidR="003A25E6">
              <w:rPr>
                <w:sz w:val="22"/>
                <w:szCs w:val="22"/>
              </w:rPr>
              <w:t xml:space="preserve"> express</w:t>
            </w:r>
            <w:r>
              <w:rPr>
                <w:sz w:val="22"/>
                <w:szCs w:val="22"/>
              </w:rPr>
              <w:t xml:space="preserve"> </w:t>
            </w:r>
            <w:r w:rsidRPr="001306F7">
              <w:rPr>
                <w:sz w:val="22"/>
                <w:szCs w:val="22"/>
              </w:rPr>
              <w:t xml:space="preserve">reference to </w:t>
            </w:r>
            <w:proofErr w:type="spellStart"/>
            <w:r w:rsidRPr="001306F7">
              <w:rPr>
                <w:sz w:val="22"/>
                <w:szCs w:val="22"/>
              </w:rPr>
              <w:t>VantageHub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11461">
              <w:rPr>
                <w:sz w:val="22"/>
                <w:szCs w:val="22"/>
              </w:rPr>
              <w:t xml:space="preserve">as </w:t>
            </w:r>
            <w:r>
              <w:rPr>
                <w:sz w:val="22"/>
                <w:szCs w:val="22"/>
              </w:rPr>
              <w:t xml:space="preserve">being </w:t>
            </w:r>
            <w:r w:rsidR="00011461">
              <w:rPr>
                <w:sz w:val="22"/>
                <w:szCs w:val="22"/>
              </w:rPr>
              <w:t>one of our Websites and incorporate</w:t>
            </w:r>
            <w:r>
              <w:rPr>
                <w:sz w:val="22"/>
                <w:szCs w:val="22"/>
              </w:rPr>
              <w:t>d</w:t>
            </w:r>
            <w:r w:rsidR="00011461">
              <w:rPr>
                <w:sz w:val="22"/>
                <w:szCs w:val="22"/>
              </w:rPr>
              <w:t xml:space="preserve"> a link to its cookie information</w:t>
            </w:r>
            <w:r w:rsidR="00464386">
              <w:rPr>
                <w:sz w:val="22"/>
                <w:szCs w:val="22"/>
              </w:rPr>
              <w:t xml:space="preserve"> (</w:t>
            </w:r>
            <w:r w:rsidR="00011461">
              <w:rPr>
                <w:sz w:val="22"/>
                <w:szCs w:val="22"/>
              </w:rPr>
              <w:t>with consequential updates having been made to the ‘Data Controller’ section</w:t>
            </w:r>
            <w:r w:rsidR="00464386">
              <w:rPr>
                <w:sz w:val="22"/>
                <w:szCs w:val="22"/>
              </w:rPr>
              <w:t>)</w:t>
            </w:r>
            <w:r w:rsidR="00011461">
              <w:rPr>
                <w:sz w:val="22"/>
                <w:szCs w:val="22"/>
              </w:rPr>
              <w:t xml:space="preserve">. </w:t>
            </w:r>
          </w:p>
        </w:tc>
      </w:tr>
      <w:tr w:rsidR="004D630C" w:rsidRPr="00323C74" w14:paraId="32FA8047" w14:textId="77777777" w:rsidTr="003A25E6">
        <w:tc>
          <w:tcPr>
            <w:tcW w:w="2733" w:type="dxa"/>
          </w:tcPr>
          <w:p w14:paraId="1B2CDF44" w14:textId="07649BDE" w:rsidR="004D630C" w:rsidRPr="00323C74" w:rsidRDefault="004D630C" w:rsidP="00464386">
            <w:pPr>
              <w:spacing w:before="120" w:after="120"/>
              <w:rPr>
                <w:sz w:val="22"/>
                <w:szCs w:val="22"/>
              </w:rPr>
            </w:pPr>
            <w:r w:rsidRPr="00323C74">
              <w:rPr>
                <w:sz w:val="22"/>
                <w:szCs w:val="22"/>
              </w:rPr>
              <w:t xml:space="preserve">Part </w:t>
            </w:r>
            <w:r w:rsidR="00011461">
              <w:rPr>
                <w:sz w:val="22"/>
                <w:szCs w:val="22"/>
              </w:rPr>
              <w:t>4</w:t>
            </w:r>
            <w:r w:rsidRPr="00323C74">
              <w:rPr>
                <w:sz w:val="22"/>
                <w:szCs w:val="22"/>
              </w:rPr>
              <w:t xml:space="preserve"> – </w:t>
            </w:r>
            <w:r w:rsidR="00011461">
              <w:rPr>
                <w:sz w:val="22"/>
                <w:szCs w:val="22"/>
              </w:rPr>
              <w:t xml:space="preserve">Vendors </w:t>
            </w:r>
          </w:p>
        </w:tc>
        <w:tc>
          <w:tcPr>
            <w:tcW w:w="6804" w:type="dxa"/>
          </w:tcPr>
          <w:p w14:paraId="237DFA5D" w14:textId="3840FAE2" w:rsidR="004D630C" w:rsidRPr="00323C74" w:rsidRDefault="00011461" w:rsidP="0046438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We’ve included </w:t>
            </w:r>
            <w:r w:rsidR="00464386">
              <w:rPr>
                <w:sz w:val="22"/>
                <w:szCs w:val="22"/>
              </w:rPr>
              <w:t xml:space="preserve">specific </w:t>
            </w:r>
            <w:r>
              <w:rPr>
                <w:sz w:val="22"/>
                <w:szCs w:val="22"/>
              </w:rPr>
              <w:t xml:space="preserve">reference to our </w:t>
            </w:r>
            <w:r w:rsidRPr="001306F7">
              <w:rPr>
                <w:sz w:val="22"/>
                <w:szCs w:val="22"/>
              </w:rPr>
              <w:t>‘Agents’</w:t>
            </w:r>
            <w:r>
              <w:rPr>
                <w:sz w:val="22"/>
                <w:szCs w:val="22"/>
              </w:rPr>
              <w:t xml:space="preserve"> along with the fact that we may collect some of their personal data via </w:t>
            </w:r>
            <w:proofErr w:type="spellStart"/>
            <w:r w:rsidR="0008582D">
              <w:rPr>
                <w:sz w:val="22"/>
                <w:szCs w:val="22"/>
              </w:rPr>
              <w:t>VantageHub</w:t>
            </w:r>
            <w:proofErr w:type="spellEnd"/>
            <w:r>
              <w:rPr>
                <w:sz w:val="22"/>
                <w:szCs w:val="22"/>
              </w:rPr>
              <w:t xml:space="preserve"> and their own Portal accounts (if applicable to them) </w:t>
            </w:r>
          </w:p>
        </w:tc>
      </w:tr>
      <w:tr w:rsidR="004D630C" w:rsidRPr="00323C74" w14:paraId="2FB8EBB7" w14:textId="77777777" w:rsidTr="003A25E6">
        <w:tc>
          <w:tcPr>
            <w:tcW w:w="2733" w:type="dxa"/>
          </w:tcPr>
          <w:p w14:paraId="4F17EA00" w14:textId="22F4F051" w:rsidR="004D630C" w:rsidRPr="00323C74" w:rsidRDefault="004D630C" w:rsidP="00464386">
            <w:pPr>
              <w:spacing w:before="120" w:after="120"/>
              <w:rPr>
                <w:sz w:val="22"/>
                <w:szCs w:val="22"/>
              </w:rPr>
            </w:pPr>
            <w:r w:rsidRPr="00323C74">
              <w:rPr>
                <w:sz w:val="22"/>
                <w:szCs w:val="22"/>
              </w:rPr>
              <w:t xml:space="preserve">Part 5 – </w:t>
            </w:r>
            <w:proofErr w:type="spellStart"/>
            <w:r w:rsidR="00011461">
              <w:rPr>
                <w:sz w:val="22"/>
                <w:szCs w:val="22"/>
              </w:rPr>
              <w:t>PartnerVantage</w:t>
            </w:r>
            <w:proofErr w:type="spellEnd"/>
            <w:r w:rsidR="00011461">
              <w:rPr>
                <w:sz w:val="22"/>
                <w:szCs w:val="22"/>
              </w:rPr>
              <w:t xml:space="preserve"> Program </w:t>
            </w:r>
          </w:p>
        </w:tc>
        <w:tc>
          <w:tcPr>
            <w:tcW w:w="6804" w:type="dxa"/>
          </w:tcPr>
          <w:p w14:paraId="6378E368" w14:textId="05C733BA" w:rsidR="004D630C" w:rsidRPr="00323C74" w:rsidRDefault="001306F7" w:rsidP="00464386">
            <w:pPr>
              <w:spacing w:before="120" w:after="120"/>
              <w:rPr>
                <w:sz w:val="22"/>
                <w:szCs w:val="22"/>
              </w:rPr>
            </w:pPr>
            <w:r w:rsidRPr="001306F7">
              <w:rPr>
                <w:b/>
                <w:bCs/>
                <w:sz w:val="22"/>
                <w:szCs w:val="22"/>
              </w:rPr>
              <w:t>N</w:t>
            </w:r>
            <w:r w:rsidR="00011461" w:rsidRPr="001306F7">
              <w:rPr>
                <w:b/>
                <w:bCs/>
                <w:sz w:val="22"/>
                <w:szCs w:val="22"/>
              </w:rPr>
              <w:t xml:space="preserve">ew section dealing with our </w:t>
            </w:r>
            <w:proofErr w:type="spellStart"/>
            <w:r w:rsidR="00011461" w:rsidRPr="001306F7">
              <w:rPr>
                <w:b/>
                <w:bCs/>
                <w:sz w:val="22"/>
                <w:szCs w:val="22"/>
              </w:rPr>
              <w:t>PartnerVantage</w:t>
            </w:r>
            <w:proofErr w:type="spellEnd"/>
            <w:r w:rsidR="00011461" w:rsidRPr="001306F7">
              <w:rPr>
                <w:b/>
                <w:bCs/>
                <w:sz w:val="22"/>
                <w:szCs w:val="22"/>
              </w:rPr>
              <w:t xml:space="preserve"> Program</w:t>
            </w:r>
            <w:r w:rsidR="00011461">
              <w:rPr>
                <w:sz w:val="22"/>
                <w:szCs w:val="22"/>
              </w:rPr>
              <w:t xml:space="preserve">. </w:t>
            </w:r>
          </w:p>
        </w:tc>
      </w:tr>
      <w:tr w:rsidR="004D630C" w:rsidRPr="00323C74" w14:paraId="4660C847" w14:textId="77777777" w:rsidTr="003A25E6">
        <w:tc>
          <w:tcPr>
            <w:tcW w:w="2733" w:type="dxa"/>
          </w:tcPr>
          <w:p w14:paraId="492BC499" w14:textId="555BE905" w:rsidR="004D630C" w:rsidRPr="00323C74" w:rsidRDefault="004D630C" w:rsidP="00464386">
            <w:pPr>
              <w:spacing w:before="120" w:after="120"/>
              <w:rPr>
                <w:sz w:val="22"/>
                <w:szCs w:val="22"/>
              </w:rPr>
            </w:pPr>
            <w:r w:rsidRPr="00323C74">
              <w:rPr>
                <w:sz w:val="22"/>
                <w:szCs w:val="22"/>
              </w:rPr>
              <w:t xml:space="preserve">Part </w:t>
            </w:r>
            <w:r w:rsidR="00464386">
              <w:rPr>
                <w:sz w:val="22"/>
                <w:szCs w:val="22"/>
              </w:rPr>
              <w:t>6</w:t>
            </w:r>
            <w:r w:rsidRPr="00323C74">
              <w:rPr>
                <w:sz w:val="22"/>
                <w:szCs w:val="22"/>
              </w:rPr>
              <w:t xml:space="preserve"> – General – </w:t>
            </w:r>
            <w:r w:rsidR="00464386">
              <w:rPr>
                <w:sz w:val="22"/>
                <w:szCs w:val="22"/>
              </w:rPr>
              <w:t>How to access and correct your personal data</w:t>
            </w:r>
          </w:p>
        </w:tc>
        <w:tc>
          <w:tcPr>
            <w:tcW w:w="6804" w:type="dxa"/>
          </w:tcPr>
          <w:p w14:paraId="2F21FFD8" w14:textId="625CEB28" w:rsidR="004D630C" w:rsidRPr="00323C74" w:rsidRDefault="00464386" w:rsidP="0046438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</w:t>
            </w:r>
            <w:r w:rsidRPr="001306F7">
              <w:rPr>
                <w:sz w:val="22"/>
                <w:szCs w:val="22"/>
              </w:rPr>
              <w:t>Agents with Portal accounts</w:t>
            </w:r>
            <w:r>
              <w:rPr>
                <w:sz w:val="22"/>
                <w:szCs w:val="22"/>
              </w:rPr>
              <w:t>, w</w:t>
            </w:r>
            <w:r w:rsidR="004D630C" w:rsidRPr="00323C74">
              <w:rPr>
                <w:sz w:val="22"/>
                <w:szCs w:val="22"/>
              </w:rPr>
              <w:t xml:space="preserve">e’ve </w:t>
            </w:r>
            <w:r w:rsidR="0008582D">
              <w:rPr>
                <w:sz w:val="22"/>
                <w:szCs w:val="22"/>
              </w:rPr>
              <w:t xml:space="preserve">stated that they </w:t>
            </w:r>
            <w:r w:rsidR="00B440D4">
              <w:rPr>
                <w:sz w:val="22"/>
                <w:szCs w:val="22"/>
              </w:rPr>
              <w:t xml:space="preserve">too </w:t>
            </w:r>
            <w:r w:rsidR="0008582D">
              <w:rPr>
                <w:sz w:val="22"/>
                <w:szCs w:val="22"/>
              </w:rPr>
              <w:t xml:space="preserve">can update </w:t>
            </w:r>
            <w:r w:rsidR="003A25E6">
              <w:rPr>
                <w:sz w:val="22"/>
                <w:szCs w:val="22"/>
              </w:rPr>
              <w:t xml:space="preserve">some of </w:t>
            </w:r>
            <w:r w:rsidR="0008582D">
              <w:rPr>
                <w:sz w:val="22"/>
                <w:szCs w:val="22"/>
              </w:rPr>
              <w:t>their information directly via th</w:t>
            </w:r>
            <w:r w:rsidR="00B440D4">
              <w:rPr>
                <w:sz w:val="22"/>
                <w:szCs w:val="22"/>
              </w:rPr>
              <w:t xml:space="preserve">eir </w:t>
            </w:r>
            <w:r w:rsidR="0008582D">
              <w:rPr>
                <w:sz w:val="22"/>
                <w:szCs w:val="22"/>
              </w:rPr>
              <w:t xml:space="preserve">Portal accounts. </w:t>
            </w:r>
          </w:p>
        </w:tc>
      </w:tr>
    </w:tbl>
    <w:p w14:paraId="0CED2D11" w14:textId="77777777" w:rsidR="004D630C" w:rsidRDefault="004D630C" w:rsidP="004D630C">
      <w:pPr>
        <w:spacing w:before="240"/>
      </w:pPr>
    </w:p>
    <w:sectPr w:rsidR="004D630C" w:rsidSect="003A25E6">
      <w:pgSz w:w="11900" w:h="16840"/>
      <w:pgMar w:top="1440" w:right="1440" w:bottom="1440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769A0" w14:textId="77777777" w:rsidR="00C76155" w:rsidRDefault="00C76155" w:rsidP="006625B5">
      <w:r>
        <w:separator/>
      </w:r>
    </w:p>
  </w:endnote>
  <w:endnote w:type="continuationSeparator" w:id="0">
    <w:p w14:paraId="1FC8F1C9" w14:textId="77777777" w:rsidR="00C76155" w:rsidRDefault="00C76155" w:rsidP="006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C609" w14:textId="77777777" w:rsidR="00C76155" w:rsidRDefault="00C76155" w:rsidP="006625B5">
      <w:r>
        <w:separator/>
      </w:r>
    </w:p>
  </w:footnote>
  <w:footnote w:type="continuationSeparator" w:id="0">
    <w:p w14:paraId="24418FD9" w14:textId="77777777" w:rsidR="00C76155" w:rsidRDefault="00C76155" w:rsidP="00662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C6722"/>
    <w:multiLevelType w:val="hybridMultilevel"/>
    <w:tmpl w:val="9E743348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376C79CD"/>
    <w:multiLevelType w:val="hybridMultilevel"/>
    <w:tmpl w:val="E3920538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49EF27A2"/>
    <w:multiLevelType w:val="hybridMultilevel"/>
    <w:tmpl w:val="CFBC0278"/>
    <w:lvl w:ilvl="0" w:tplc="A45AB2F4">
      <w:start w:val="1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5C463199"/>
    <w:multiLevelType w:val="hybridMultilevel"/>
    <w:tmpl w:val="F1641AF6"/>
    <w:lvl w:ilvl="0" w:tplc="D6F05F2E"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73B716A9"/>
    <w:multiLevelType w:val="hybridMultilevel"/>
    <w:tmpl w:val="11C07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D3"/>
    <w:rsid w:val="00010210"/>
    <w:rsid w:val="00011461"/>
    <w:rsid w:val="000611A0"/>
    <w:rsid w:val="0008582D"/>
    <w:rsid w:val="00096DE6"/>
    <w:rsid w:val="001306F7"/>
    <w:rsid w:val="00323C74"/>
    <w:rsid w:val="003A25E6"/>
    <w:rsid w:val="00406B94"/>
    <w:rsid w:val="00464386"/>
    <w:rsid w:val="00464CE8"/>
    <w:rsid w:val="00473EF0"/>
    <w:rsid w:val="004D630C"/>
    <w:rsid w:val="00590668"/>
    <w:rsid w:val="005D6D11"/>
    <w:rsid w:val="005F5340"/>
    <w:rsid w:val="00662347"/>
    <w:rsid w:val="006625B5"/>
    <w:rsid w:val="00726B54"/>
    <w:rsid w:val="00741F49"/>
    <w:rsid w:val="009E64D3"/>
    <w:rsid w:val="009F5951"/>
    <w:rsid w:val="00A527B3"/>
    <w:rsid w:val="00AB0FC1"/>
    <w:rsid w:val="00AD35D3"/>
    <w:rsid w:val="00B03D9E"/>
    <w:rsid w:val="00B17AA9"/>
    <w:rsid w:val="00B440D4"/>
    <w:rsid w:val="00B5392A"/>
    <w:rsid w:val="00BE6E55"/>
    <w:rsid w:val="00C54529"/>
    <w:rsid w:val="00C76155"/>
    <w:rsid w:val="00CA1D39"/>
    <w:rsid w:val="00CA5D21"/>
    <w:rsid w:val="00D35366"/>
    <w:rsid w:val="00D63520"/>
    <w:rsid w:val="00D92B69"/>
    <w:rsid w:val="00E934B1"/>
    <w:rsid w:val="00EA211D"/>
    <w:rsid w:val="00F021C8"/>
    <w:rsid w:val="00F70BA4"/>
    <w:rsid w:val="00F97BF4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4CEFB"/>
  <w15:chartTrackingRefBased/>
  <w15:docId w15:val="{A85F05C6-4B3A-B54B-9821-F07A41FA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9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2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A5D2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625B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625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5B5"/>
  </w:style>
  <w:style w:type="paragraph" w:styleId="Footer">
    <w:name w:val="footer"/>
    <w:basedOn w:val="Normal"/>
    <w:link w:val="FooterChar"/>
    <w:uiPriority w:val="99"/>
    <w:unhideWhenUsed/>
    <w:rsid w:val="006625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Visser</dc:creator>
  <cp:keywords/>
  <dc:description/>
  <cp:lastModifiedBy>Louise Visser</cp:lastModifiedBy>
  <cp:revision>2</cp:revision>
  <dcterms:created xsi:type="dcterms:W3CDTF">2022-02-02T02:48:00Z</dcterms:created>
  <dcterms:modified xsi:type="dcterms:W3CDTF">2022-02-02T02:48:00Z</dcterms:modified>
</cp:coreProperties>
</file>